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E6" w:rsidRDefault="009147E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</w:p>
    <w:p w:rsidR="009147E6" w:rsidRDefault="009147E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</w:p>
    <w:p w:rsidR="009147E6" w:rsidRDefault="009147E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  <w:r w:rsidRPr="009147E6">
        <w:rPr>
          <w:rFonts w:ascii="inherit" w:eastAsia="Times New Roman" w:hAnsi="inherit" w:cs="Times New Roman"/>
          <w:noProof/>
          <w:color w:val="4C4C4C"/>
          <w:kern w:val="36"/>
          <w:sz w:val="36"/>
          <w:szCs w:val="36"/>
          <w:lang w:eastAsia="it-IT"/>
        </w:rPr>
        <w:drawing>
          <wp:inline distT="0" distB="0" distL="0" distR="0">
            <wp:extent cx="6120130" cy="2265383"/>
            <wp:effectExtent l="0" t="0" r="0" b="1905"/>
            <wp:docPr id="1" name="Immagine 1" descr="C:\Users\Utente\Desktop\Koin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Koinè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7E6" w:rsidRDefault="009147E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</w:p>
    <w:p w:rsidR="009147E6" w:rsidRDefault="009147E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</w:p>
    <w:p w:rsidR="00404FB6" w:rsidRPr="00404FB6" w:rsidRDefault="00404FB6" w:rsidP="00404FB6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</w:pPr>
      <w:r w:rsidRPr="00404FB6">
        <w:rPr>
          <w:rFonts w:ascii="inherit" w:eastAsia="Times New Roman" w:hAnsi="inherit" w:cs="Times New Roman"/>
          <w:color w:val="4C4C4C"/>
          <w:kern w:val="36"/>
          <w:sz w:val="36"/>
          <w:szCs w:val="36"/>
          <w:lang w:eastAsia="it-IT"/>
        </w:rPr>
        <w:t>Scheda Progetto</w:t>
      </w:r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Soggetto Responsabile</w:t>
      </w: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br/>
        <w:t xml:space="preserve">La Lanterna di Diogene Cooperativa Sociale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Onlus</w:t>
      </w:r>
      <w:proofErr w:type="spellEnd"/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Territori interessati</w:t>
      </w: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br/>
        <w:t>Crotone, Fonte Nuova (RM), Mentana (RM), Monterotondo (RM), Palombara Sabina (RM), Terrasini (PA), Trapani</w:t>
      </w:r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Importo deliberato</w:t>
      </w:r>
      <w:r w:rsidRPr="00404FB6">
        <w:rPr>
          <w:rFonts w:ascii="Arial" w:eastAsia="Times New Roman" w:hAnsi="Arial" w:cs="Arial"/>
          <w:i/>
          <w:iCs/>
          <w:color w:val="010101"/>
          <w:sz w:val="24"/>
          <w:szCs w:val="24"/>
          <w:lang w:eastAsia="it-IT"/>
        </w:rPr>
        <w:br/>
      </w: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2.035.752 euro</w:t>
      </w:r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Partenariato</w:t>
      </w:r>
      <w:r w:rsidRPr="00404FB6">
        <w:rPr>
          <w:rFonts w:ascii="Arial" w:eastAsia="Times New Roman" w:hAnsi="Arial" w:cs="Arial"/>
          <w:i/>
          <w:iCs/>
          <w:color w:val="010101"/>
          <w:sz w:val="24"/>
          <w:szCs w:val="24"/>
          <w:lang w:eastAsia="it-IT"/>
        </w:rPr>
        <w:br/>
      </w: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Agape Società Cooperativa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Onlus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, Agorà 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Kroton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Società  Cooperativa Sociale A R.L., Associazione “A.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Maslow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”, Associazione Alba, Associazione Attivamente, Comune Di Crotone, Comune Di Fonte Nuova, Comune Di Mentana, Comune Di Monterotondo, Istituto Comprensivo “Pirandello” – Fonte Nuova , Istituto Comprensivo “Città Dei Bambini” – Mentana, Istituto Comprensivo Giovanni XXIII – Terrasini, Istituto Comprensivo “Loredana Campanari” – Monterotondo, Istituto Comprensivo “Bruno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Buozzi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 – Monterotondo, Istituto Comprensivo “Eugenio Pertini” – Trapani, Istituto Comprensivo Statale “Raffaello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Giovagnoli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 – Monterotondo, Istituto Comprensivo “Vittorio Alfieri” – Crotone, Associazione “Liberi Di Essere”, Liceo Classico Statale “Pitagora” – Crotone, Liceo Statale “Gaio Valerio Catullo” – Monterotondo, Università  Degli Studi Di Bari Aldo Moro – Dipartimento Di Scienze Politiche,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We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Can Associazione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Onlus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Società Cooperativa Sociale “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We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Can”, Istituto Comprensivo “Sandro Pertini” – Fonte Nuova , Istituto Comprensivo “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Paribeni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10” – Mentana, Liceo Scientifico “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G.Peano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 – Monterotondo,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Ipsar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“Alcide De Gasperi” – Palombara Sabina</w:t>
      </w:r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lastRenderedPageBreak/>
        <w:t> </w:t>
      </w:r>
    </w:p>
    <w:p w:rsidR="00404FB6" w:rsidRPr="00404FB6" w:rsidRDefault="00404FB6" w:rsidP="00404F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04FB6">
        <w:rPr>
          <w:rFonts w:ascii="Arial" w:eastAsia="Times New Roman" w:hAnsi="Arial" w:cs="Arial"/>
          <w:b/>
          <w:bCs/>
          <w:color w:val="010101"/>
          <w:sz w:val="24"/>
          <w:szCs w:val="24"/>
          <w:lang w:eastAsia="it-IT"/>
        </w:rPr>
        <w:t>Sintesi</w:t>
      </w:r>
      <w:r w:rsidRPr="00404FB6">
        <w:rPr>
          <w:rFonts w:ascii="Arial" w:eastAsia="Times New Roman" w:hAnsi="Arial" w:cs="Arial"/>
          <w:i/>
          <w:iCs/>
          <w:color w:val="010101"/>
          <w:sz w:val="24"/>
          <w:szCs w:val="24"/>
          <w:lang w:eastAsia="it-IT"/>
        </w:rPr>
        <w:br/>
      </w:r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L’Atelier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Koiné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è un progetto che ha come finalità l’accoglienza, la formazione e l’orientamento degli adolescenti, per prevenire la dispersione e dall’abbandono scolastico contrastare la povertà educativa e favorire la creazione di un concreto “welfare comunitario”. Lo strumento individuato è quello dei 7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hub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innovation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, luoghi di incontro, formazione, crescita e riflessione che si attiveranno nei 6 territori coinvolti, per tutta la durata del progetto (48 mesi): in totale si prevede di erogare all’interno degli istituti coinvolti 21.728 ore di potenziamento delle attività didattiche. Previste inoltre: 1) attività di carattere sociale in favore della comunità educante per la quale verrà organizzato l’atelier 6 sociale” con incontri di rete, incontri di quartiere, incontri di settore per un totale di 2.160 ore di attività territoriale; 2) formazione destinata ai docenti per rafforzare quelle competenze degli “attori educanti” nello specifico “atelier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proform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”, attivo nei 4 anni per un totale di 2160 ore e che prevede il coinvolgimento di circa 300 insegnanti per ogni anno scolastico; 3) sostegno alla genitorialità, per i genitori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partners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di scuola coinvolti nell’“atelier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gps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” in cui si svolgeranno attività di supporto in situazioni di criticità e la diffusione di “buone pratiche” di progettazione. Previsto il coinvolgimento di </w:t>
      </w:r>
      <w:proofErr w:type="gram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circa  2.500</w:t>
      </w:r>
      <w:proofErr w:type="gram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familiari dei giovani coinvolti negli </w:t>
      </w:r>
      <w:proofErr w:type="spellStart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hub</w:t>
      </w:r>
      <w:proofErr w:type="spellEnd"/>
      <w:r w:rsidRPr="00404FB6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 per un totale di 13.600 ore nei 4 a</w:t>
      </w: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>nni</w:t>
      </w:r>
    </w:p>
    <w:p w:rsidR="00153CC7" w:rsidRDefault="00153CC7"/>
    <w:sectPr w:rsidR="00153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B6"/>
    <w:rsid w:val="00153CC7"/>
    <w:rsid w:val="00404FB6"/>
    <w:rsid w:val="009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77969-8D88-45E7-94BB-200175B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2020-11-03T11:50:00Z</dcterms:created>
  <dcterms:modified xsi:type="dcterms:W3CDTF">2020-11-03T11:52:00Z</dcterms:modified>
</cp:coreProperties>
</file>